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11" w:rsidRPr="007F3C81" w:rsidRDefault="00C53811" w:rsidP="007F3C81">
      <w:pPr>
        <w:pStyle w:val="Heading1"/>
        <w:jc w:val="both"/>
        <w:rPr>
          <w:rStyle w:val="SubtleEmphasis"/>
          <w:b/>
          <w:bCs/>
          <w:u w:val="single"/>
        </w:rPr>
      </w:pPr>
      <w:r w:rsidRPr="007F3C81">
        <w:rPr>
          <w:rStyle w:val="SubtleEmphasis"/>
          <w:b/>
          <w:bCs/>
          <w:u w:val="single"/>
        </w:rPr>
        <w:t>Brief Overview on N</w:t>
      </w:r>
      <w:r w:rsidR="007F3C81" w:rsidRPr="007F3C81">
        <w:rPr>
          <w:rStyle w:val="SubtleEmphasis"/>
          <w:b/>
          <w:bCs/>
          <w:u w:val="single"/>
        </w:rPr>
        <w:t xml:space="preserve">ational </w:t>
      </w:r>
      <w:r w:rsidRPr="007F3C81">
        <w:rPr>
          <w:rStyle w:val="SubtleEmphasis"/>
          <w:b/>
          <w:bCs/>
          <w:u w:val="single"/>
        </w:rPr>
        <w:t>A</w:t>
      </w:r>
      <w:r w:rsidR="007F3C81" w:rsidRPr="007F3C81">
        <w:rPr>
          <w:rStyle w:val="SubtleEmphasis"/>
          <w:b/>
          <w:bCs/>
          <w:u w:val="single"/>
        </w:rPr>
        <w:t xml:space="preserve">pprenticeship </w:t>
      </w:r>
      <w:r w:rsidRPr="007F3C81">
        <w:rPr>
          <w:rStyle w:val="SubtleEmphasis"/>
          <w:b/>
          <w:bCs/>
          <w:u w:val="single"/>
        </w:rPr>
        <w:t>P</w:t>
      </w:r>
      <w:r w:rsidR="007F3C81" w:rsidRPr="007F3C81">
        <w:rPr>
          <w:rStyle w:val="SubtleEmphasis"/>
          <w:b/>
          <w:bCs/>
          <w:u w:val="single"/>
        </w:rPr>
        <w:t xml:space="preserve">romotion </w:t>
      </w:r>
      <w:r w:rsidRPr="007F3C81">
        <w:rPr>
          <w:rStyle w:val="SubtleEmphasis"/>
          <w:b/>
          <w:bCs/>
          <w:u w:val="single"/>
        </w:rPr>
        <w:t>S</w:t>
      </w:r>
      <w:r w:rsidR="007F3C81" w:rsidRPr="007F3C81">
        <w:rPr>
          <w:rStyle w:val="SubtleEmphasis"/>
          <w:b/>
          <w:bCs/>
          <w:u w:val="single"/>
        </w:rPr>
        <w:t>cheme(NAPS)</w:t>
      </w:r>
    </w:p>
    <w:p w:rsidR="00C53811" w:rsidRDefault="00C53811" w:rsidP="00E41106">
      <w:pPr>
        <w:jc w:val="both"/>
      </w:pPr>
      <w:r>
        <w:t xml:space="preserve">National Apprenticeship Promotion Scheme (NAPS) is a part of Apprenticeship Act 1961 which is envisaged for training of both designated and optional trades. </w:t>
      </w:r>
      <w:proofErr w:type="spellStart"/>
      <w:r>
        <w:t>GoI</w:t>
      </w:r>
      <w:proofErr w:type="spellEnd"/>
      <w:r>
        <w:t xml:space="preserve"> has been putting much impetus on this scheme to ensure for a better and qualified pool of trade specific workforce. </w:t>
      </w:r>
      <w:r w:rsidR="002825C8" w:rsidRPr="002825C8">
        <w:t>Apprenticeship training is a course of training in any industry or establishment. Apprenticeship training consists of basic training and on-the-job-training (OJT)/practical training at workplace</w:t>
      </w:r>
      <w:r w:rsidR="002825C8">
        <w:t>.</w:t>
      </w:r>
    </w:p>
    <w:p w:rsidR="00C53811" w:rsidRPr="00B50786" w:rsidRDefault="00E41106" w:rsidP="00481C95">
      <w:pPr>
        <w:shd w:val="clear" w:color="auto" w:fill="D9D9D9" w:themeFill="background1" w:themeFillShade="D9"/>
        <w:jc w:val="both"/>
        <w:rPr>
          <w:b/>
          <w:u w:val="single"/>
        </w:rPr>
      </w:pPr>
      <w:r>
        <w:rPr>
          <w:b/>
          <w:u w:val="single"/>
        </w:rPr>
        <w:t>Key Features</w:t>
      </w:r>
    </w:p>
    <w:p w:rsidR="00C53811" w:rsidRDefault="00C53811" w:rsidP="00E41106">
      <w:pPr>
        <w:jc w:val="both"/>
      </w:pPr>
      <w:r>
        <w:t>Incentives fo</w:t>
      </w:r>
      <w:r w:rsidR="009D0654">
        <w:t>r establishments are as follows:</w:t>
      </w:r>
    </w:p>
    <w:p w:rsidR="00E41106" w:rsidRDefault="00E41106" w:rsidP="00E41106">
      <w:pPr>
        <w:pStyle w:val="ListParagraph"/>
        <w:numPr>
          <w:ilvl w:val="0"/>
          <w:numId w:val="1"/>
        </w:numPr>
        <w:jc w:val="both"/>
      </w:pPr>
      <w:r>
        <w:t>NAPS has got dual model of training where initially basic course (theory) is provided by Basic Training Provider (BTP)</w:t>
      </w:r>
      <w:r w:rsidR="00481C95">
        <w:rPr>
          <w:rStyle w:val="FootnoteReference"/>
        </w:rPr>
        <w:footnoteReference w:id="1"/>
      </w:r>
      <w:r>
        <w:t xml:space="preserve"> and OJT on work floor within establishment premises.</w:t>
      </w:r>
    </w:p>
    <w:p w:rsidR="00C53811" w:rsidRDefault="00C53811" w:rsidP="00E41106">
      <w:pPr>
        <w:pStyle w:val="ListParagraph"/>
        <w:numPr>
          <w:ilvl w:val="0"/>
          <w:numId w:val="1"/>
        </w:numPr>
        <w:jc w:val="both"/>
      </w:pPr>
      <w:r w:rsidRPr="00C53811">
        <w:t>Sharing of stipend with empl</w:t>
      </w:r>
      <w:r w:rsidR="002825C8">
        <w:t xml:space="preserve">oyers to a maximum limit of Rs. </w:t>
      </w:r>
      <w:r w:rsidRPr="00C53811">
        <w:t>1500 per month per apprentice</w:t>
      </w:r>
    </w:p>
    <w:p w:rsidR="00C53811" w:rsidRDefault="00C53811" w:rsidP="00E41106">
      <w:pPr>
        <w:pStyle w:val="ListParagraph"/>
        <w:numPr>
          <w:ilvl w:val="0"/>
          <w:numId w:val="1"/>
        </w:numPr>
        <w:jc w:val="both"/>
      </w:pPr>
      <w:r w:rsidRPr="00C53811">
        <w:t>Sharing of Basic Training Cost with Basic Training Providers</w:t>
      </w:r>
      <w:r w:rsidR="002825C8">
        <w:t xml:space="preserve"> (BTP)</w:t>
      </w:r>
      <w:r w:rsidRPr="00C53811">
        <w:t xml:space="preserve"> to a maximum limit of Rs. 7500 for 500 hours/ 3 months per apprentice</w:t>
      </w:r>
      <w:r>
        <w:t>.</w:t>
      </w:r>
    </w:p>
    <w:p w:rsidR="00B50786" w:rsidRPr="00B50786" w:rsidRDefault="00B50786" w:rsidP="00481C95">
      <w:pPr>
        <w:shd w:val="clear" w:color="auto" w:fill="D9D9D9" w:themeFill="background1" w:themeFillShade="D9"/>
        <w:jc w:val="both"/>
        <w:rPr>
          <w:b/>
          <w:u w:val="single"/>
        </w:rPr>
      </w:pPr>
      <w:r w:rsidRPr="00B50786">
        <w:rPr>
          <w:b/>
          <w:u w:val="single"/>
        </w:rPr>
        <w:t>Qualifying Criteria for Establishments</w:t>
      </w:r>
    </w:p>
    <w:p w:rsidR="00C53811" w:rsidRDefault="00B50786" w:rsidP="00E41106">
      <w:pPr>
        <w:jc w:val="both"/>
      </w:pPr>
      <w:r>
        <w:t>E</w:t>
      </w:r>
      <w:r w:rsidR="00C53811">
        <w:t>stablishments</w:t>
      </w:r>
      <w:r w:rsidR="009D0654">
        <w:t>/employers</w:t>
      </w:r>
      <w:r w:rsidR="00C53811">
        <w:t xml:space="preserve"> need</w:t>
      </w:r>
      <w:r w:rsidR="009D0654">
        <w:t xml:space="preserve"> to be qualified to be a part of this scheme which are as follows:</w:t>
      </w:r>
    </w:p>
    <w:p w:rsidR="009D0654" w:rsidRDefault="009D0654" w:rsidP="00E41106">
      <w:pPr>
        <w:pStyle w:val="ListParagraph"/>
        <w:numPr>
          <w:ilvl w:val="0"/>
          <w:numId w:val="2"/>
        </w:numPr>
        <w:jc w:val="both"/>
      </w:pPr>
      <w:r w:rsidRPr="009D0654">
        <w:t>Employer validation through TIN/TAN and EPFO/ESIC/LIN/ any other identifier decided by Govt.</w:t>
      </w:r>
    </w:p>
    <w:p w:rsidR="009D0654" w:rsidRDefault="009D0654" w:rsidP="00E41106">
      <w:pPr>
        <w:pStyle w:val="ListParagraph"/>
        <w:numPr>
          <w:ilvl w:val="0"/>
          <w:numId w:val="2"/>
        </w:numPr>
        <w:jc w:val="both"/>
      </w:pPr>
      <w:r>
        <w:t xml:space="preserve">Bank Account which is validated (preferred with </w:t>
      </w:r>
      <w:proofErr w:type="spellStart"/>
      <w:r>
        <w:t>Aadhar</w:t>
      </w:r>
      <w:proofErr w:type="spellEnd"/>
      <w:r>
        <w:t xml:space="preserve"> Link)</w:t>
      </w:r>
    </w:p>
    <w:p w:rsidR="009D0654" w:rsidRDefault="009D0654" w:rsidP="00E41106">
      <w:pPr>
        <w:pStyle w:val="ListParagraph"/>
        <w:numPr>
          <w:ilvl w:val="0"/>
          <w:numId w:val="2"/>
        </w:numPr>
        <w:jc w:val="both"/>
      </w:pPr>
      <w:r>
        <w:t xml:space="preserve">Also, as per the mandate from </w:t>
      </w:r>
      <w:proofErr w:type="spellStart"/>
      <w:r>
        <w:t>GoI</w:t>
      </w:r>
      <w:proofErr w:type="spellEnd"/>
      <w:r>
        <w:t>, apprenticeship act is applicable on establishments as per the employee strength. The eligibility slab is given below-</w:t>
      </w:r>
    </w:p>
    <w:tbl>
      <w:tblPr>
        <w:tblStyle w:val="TableGrid"/>
        <w:tblW w:w="0" w:type="auto"/>
        <w:tblInd w:w="720" w:type="dxa"/>
        <w:tblLook w:val="04A0" w:firstRow="1" w:lastRow="0" w:firstColumn="1" w:lastColumn="0" w:noHBand="0" w:noVBand="1"/>
      </w:tblPr>
      <w:tblGrid>
        <w:gridCol w:w="4121"/>
        <w:gridCol w:w="4085"/>
      </w:tblGrid>
      <w:tr w:rsidR="00AB7174" w:rsidRPr="00AB7174" w:rsidTr="00AB7174">
        <w:tc>
          <w:tcPr>
            <w:tcW w:w="4121" w:type="dxa"/>
            <w:shd w:val="clear" w:color="auto" w:fill="FFD966" w:themeFill="accent4" w:themeFillTint="99"/>
          </w:tcPr>
          <w:p w:rsidR="009D0654" w:rsidRPr="00AB7174" w:rsidRDefault="009D0654" w:rsidP="00E41106">
            <w:pPr>
              <w:pStyle w:val="ListParagraph"/>
              <w:ind w:left="0"/>
              <w:jc w:val="both"/>
              <w:rPr>
                <w:b/>
              </w:rPr>
            </w:pPr>
            <w:r w:rsidRPr="00AB7174">
              <w:rPr>
                <w:b/>
              </w:rPr>
              <w:t>Employee Strength</w:t>
            </w:r>
          </w:p>
        </w:tc>
        <w:tc>
          <w:tcPr>
            <w:tcW w:w="4085" w:type="dxa"/>
            <w:shd w:val="clear" w:color="auto" w:fill="FFD966" w:themeFill="accent4" w:themeFillTint="99"/>
          </w:tcPr>
          <w:p w:rsidR="009D0654" w:rsidRPr="00AB7174" w:rsidRDefault="00AB7174" w:rsidP="00E41106">
            <w:pPr>
              <w:pStyle w:val="ListParagraph"/>
              <w:ind w:left="0"/>
              <w:jc w:val="both"/>
              <w:rPr>
                <w:b/>
              </w:rPr>
            </w:pPr>
            <w:r w:rsidRPr="00AB7174">
              <w:rPr>
                <w:b/>
              </w:rPr>
              <w:t>Eligibility for Apprenticeship</w:t>
            </w:r>
          </w:p>
        </w:tc>
      </w:tr>
      <w:tr w:rsidR="009D0654" w:rsidTr="00AB7174">
        <w:tc>
          <w:tcPr>
            <w:tcW w:w="4121" w:type="dxa"/>
          </w:tcPr>
          <w:p w:rsidR="009D0654" w:rsidRDefault="00AB7174" w:rsidP="00E41106">
            <w:pPr>
              <w:pStyle w:val="ListParagraph"/>
              <w:ind w:left="0"/>
              <w:jc w:val="both"/>
            </w:pPr>
            <w:r>
              <w:t>0-5</w:t>
            </w:r>
          </w:p>
        </w:tc>
        <w:tc>
          <w:tcPr>
            <w:tcW w:w="4085" w:type="dxa"/>
          </w:tcPr>
          <w:p w:rsidR="00AB7174" w:rsidRDefault="00AB7174" w:rsidP="00E41106">
            <w:pPr>
              <w:pStyle w:val="ListParagraph"/>
              <w:ind w:left="0"/>
              <w:jc w:val="both"/>
            </w:pPr>
            <w:r>
              <w:t>Not Eligible</w:t>
            </w:r>
          </w:p>
        </w:tc>
      </w:tr>
      <w:tr w:rsidR="009D0654" w:rsidTr="00AB7174">
        <w:tc>
          <w:tcPr>
            <w:tcW w:w="4121" w:type="dxa"/>
          </w:tcPr>
          <w:p w:rsidR="009D0654" w:rsidRDefault="00C5613C" w:rsidP="00E41106">
            <w:pPr>
              <w:pStyle w:val="ListParagraph"/>
              <w:ind w:left="0"/>
              <w:jc w:val="both"/>
            </w:pPr>
            <w:r>
              <w:t>6-3</w:t>
            </w:r>
            <w:r w:rsidR="00AB7174">
              <w:t>0</w:t>
            </w:r>
          </w:p>
        </w:tc>
        <w:tc>
          <w:tcPr>
            <w:tcW w:w="4085" w:type="dxa"/>
          </w:tcPr>
          <w:p w:rsidR="009D0654" w:rsidRDefault="00AB7174" w:rsidP="00E41106">
            <w:pPr>
              <w:pStyle w:val="ListParagraph"/>
              <w:ind w:left="0"/>
              <w:jc w:val="both"/>
            </w:pPr>
            <w:r>
              <w:t>Optional</w:t>
            </w:r>
          </w:p>
        </w:tc>
      </w:tr>
      <w:tr w:rsidR="009D0654" w:rsidTr="00AB7174">
        <w:tc>
          <w:tcPr>
            <w:tcW w:w="4121" w:type="dxa"/>
          </w:tcPr>
          <w:p w:rsidR="009D0654" w:rsidRDefault="00C5613C" w:rsidP="00E41106">
            <w:pPr>
              <w:pStyle w:val="ListParagraph"/>
              <w:ind w:left="0"/>
              <w:jc w:val="both"/>
            </w:pPr>
            <w:r>
              <w:t>&gt;3</w:t>
            </w:r>
            <w:r w:rsidR="00AB7174">
              <w:t>0</w:t>
            </w:r>
          </w:p>
        </w:tc>
        <w:tc>
          <w:tcPr>
            <w:tcW w:w="4085" w:type="dxa"/>
          </w:tcPr>
          <w:p w:rsidR="00AB7174" w:rsidRDefault="00AB7174" w:rsidP="00E41106">
            <w:pPr>
              <w:pStyle w:val="ListParagraph"/>
              <w:ind w:left="0"/>
              <w:jc w:val="both"/>
            </w:pPr>
            <w:r>
              <w:t>Mandatory</w:t>
            </w:r>
          </w:p>
        </w:tc>
      </w:tr>
    </w:tbl>
    <w:p w:rsidR="00AB7174" w:rsidRDefault="00AB7174" w:rsidP="00E41106">
      <w:pPr>
        <w:pStyle w:val="ListParagraph"/>
        <w:numPr>
          <w:ilvl w:val="0"/>
          <w:numId w:val="3"/>
        </w:numPr>
        <w:jc w:val="both"/>
      </w:pPr>
      <w:r>
        <w:t>Establishments need to engage apprentices within a band of 2.5% to 10% of its total workforce.</w:t>
      </w:r>
    </w:p>
    <w:p w:rsidR="00AB7174" w:rsidRDefault="00AB7174" w:rsidP="00E41106">
      <w:pPr>
        <w:pStyle w:val="ListParagraph"/>
        <w:numPr>
          <w:ilvl w:val="0"/>
          <w:numId w:val="3"/>
        </w:numPr>
        <w:jc w:val="both"/>
      </w:pPr>
      <w:r>
        <w:t>Establishments operating in 4 states or more doesn’t fall under the administration of state. Same rule applies for PSU and other government establishments. Such establishments would be controlled directly by MSDE/</w:t>
      </w:r>
      <w:proofErr w:type="spellStart"/>
      <w:r>
        <w:t>GoI</w:t>
      </w:r>
      <w:proofErr w:type="spellEnd"/>
      <w:r>
        <w:t>.</w:t>
      </w:r>
    </w:p>
    <w:p w:rsidR="00AB7174" w:rsidRPr="00B50786" w:rsidRDefault="00AB7174" w:rsidP="00481C95">
      <w:pPr>
        <w:shd w:val="clear" w:color="auto" w:fill="D9D9D9" w:themeFill="background1" w:themeFillShade="D9"/>
        <w:jc w:val="both"/>
        <w:rPr>
          <w:b/>
          <w:u w:val="single"/>
        </w:rPr>
      </w:pPr>
      <w:r w:rsidRPr="00B50786">
        <w:rPr>
          <w:b/>
          <w:u w:val="single"/>
        </w:rPr>
        <w:t>Eligibility Criteria for candidates</w:t>
      </w:r>
    </w:p>
    <w:tbl>
      <w:tblPr>
        <w:tblStyle w:val="TableGrid"/>
        <w:tblW w:w="0" w:type="auto"/>
        <w:tblInd w:w="704" w:type="dxa"/>
        <w:tblLook w:val="04A0" w:firstRow="1" w:lastRow="0" w:firstColumn="1" w:lastColumn="0" w:noHBand="0" w:noVBand="1"/>
      </w:tblPr>
      <w:tblGrid>
        <w:gridCol w:w="1550"/>
        <w:gridCol w:w="2254"/>
        <w:gridCol w:w="2254"/>
        <w:gridCol w:w="2254"/>
      </w:tblGrid>
      <w:tr w:rsidR="00AB7174" w:rsidTr="00481C95">
        <w:tc>
          <w:tcPr>
            <w:tcW w:w="1550" w:type="dxa"/>
            <w:shd w:val="clear" w:color="auto" w:fill="FFD966" w:themeFill="accent4" w:themeFillTint="99"/>
          </w:tcPr>
          <w:p w:rsidR="00AB7174" w:rsidRDefault="00AB7174" w:rsidP="00E41106">
            <w:pPr>
              <w:jc w:val="both"/>
            </w:pPr>
            <w:r>
              <w:t>Category of Apprentice</w:t>
            </w:r>
          </w:p>
        </w:tc>
        <w:tc>
          <w:tcPr>
            <w:tcW w:w="2254" w:type="dxa"/>
            <w:shd w:val="clear" w:color="auto" w:fill="FFD966" w:themeFill="accent4" w:themeFillTint="99"/>
          </w:tcPr>
          <w:p w:rsidR="00AB7174" w:rsidRDefault="00AB7174" w:rsidP="00E41106">
            <w:pPr>
              <w:jc w:val="both"/>
            </w:pPr>
            <w:r>
              <w:t>Min Age</w:t>
            </w:r>
          </w:p>
        </w:tc>
        <w:tc>
          <w:tcPr>
            <w:tcW w:w="2254" w:type="dxa"/>
            <w:shd w:val="clear" w:color="auto" w:fill="FFD966" w:themeFill="accent4" w:themeFillTint="99"/>
          </w:tcPr>
          <w:p w:rsidR="00AB7174" w:rsidRDefault="00AB7174" w:rsidP="00E41106">
            <w:pPr>
              <w:jc w:val="both"/>
            </w:pPr>
            <w:r>
              <w:t>Max Age</w:t>
            </w:r>
          </w:p>
        </w:tc>
        <w:tc>
          <w:tcPr>
            <w:tcW w:w="2254" w:type="dxa"/>
            <w:shd w:val="clear" w:color="auto" w:fill="FFD966" w:themeFill="accent4" w:themeFillTint="99"/>
          </w:tcPr>
          <w:p w:rsidR="00AB7174" w:rsidRDefault="00AB7174" w:rsidP="00E41106">
            <w:pPr>
              <w:jc w:val="both"/>
            </w:pPr>
            <w:r>
              <w:t>Min Qualification</w:t>
            </w:r>
          </w:p>
        </w:tc>
      </w:tr>
      <w:tr w:rsidR="00AB7174" w:rsidTr="002825C8">
        <w:tc>
          <w:tcPr>
            <w:tcW w:w="1550" w:type="dxa"/>
          </w:tcPr>
          <w:p w:rsidR="00AB7174" w:rsidRDefault="00AB7174" w:rsidP="00E41106">
            <w:pPr>
              <w:jc w:val="both"/>
            </w:pPr>
            <w:r>
              <w:t>ITI Pass out</w:t>
            </w:r>
          </w:p>
        </w:tc>
        <w:tc>
          <w:tcPr>
            <w:tcW w:w="2254" w:type="dxa"/>
          </w:tcPr>
          <w:p w:rsidR="00AB7174" w:rsidRDefault="00AB7174" w:rsidP="00E41106">
            <w:pPr>
              <w:jc w:val="both"/>
            </w:pPr>
            <w:r>
              <w:t>14</w:t>
            </w:r>
          </w:p>
        </w:tc>
        <w:tc>
          <w:tcPr>
            <w:tcW w:w="2254" w:type="dxa"/>
          </w:tcPr>
          <w:p w:rsidR="00AB7174" w:rsidRDefault="002825C8" w:rsidP="00E41106">
            <w:pPr>
              <w:jc w:val="both"/>
            </w:pPr>
            <w:r>
              <w:t>None</w:t>
            </w:r>
          </w:p>
        </w:tc>
        <w:tc>
          <w:tcPr>
            <w:tcW w:w="2254" w:type="dxa"/>
          </w:tcPr>
          <w:p w:rsidR="00AB7174" w:rsidRDefault="002825C8" w:rsidP="00E41106">
            <w:pPr>
              <w:jc w:val="both"/>
            </w:pPr>
            <w:r>
              <w:t>As per trade</w:t>
            </w:r>
          </w:p>
        </w:tc>
      </w:tr>
      <w:tr w:rsidR="00AB7174" w:rsidTr="002825C8">
        <w:tc>
          <w:tcPr>
            <w:tcW w:w="1550" w:type="dxa"/>
          </w:tcPr>
          <w:p w:rsidR="00AB7174" w:rsidRDefault="00AB7174" w:rsidP="00E41106">
            <w:pPr>
              <w:jc w:val="both"/>
            </w:pPr>
            <w:r>
              <w:t>PMKVY/MES Pass Out</w:t>
            </w:r>
          </w:p>
        </w:tc>
        <w:tc>
          <w:tcPr>
            <w:tcW w:w="2254" w:type="dxa"/>
          </w:tcPr>
          <w:p w:rsidR="00AB7174" w:rsidRDefault="002825C8" w:rsidP="00E41106">
            <w:pPr>
              <w:jc w:val="both"/>
            </w:pPr>
            <w:r>
              <w:t>14</w:t>
            </w:r>
          </w:p>
        </w:tc>
        <w:tc>
          <w:tcPr>
            <w:tcW w:w="2254" w:type="dxa"/>
          </w:tcPr>
          <w:p w:rsidR="00AB7174" w:rsidRDefault="002825C8" w:rsidP="00E41106">
            <w:pPr>
              <w:jc w:val="both"/>
            </w:pPr>
            <w:r>
              <w:t>None</w:t>
            </w:r>
          </w:p>
        </w:tc>
        <w:tc>
          <w:tcPr>
            <w:tcW w:w="2254" w:type="dxa"/>
          </w:tcPr>
          <w:p w:rsidR="00AB7174" w:rsidRDefault="002825C8" w:rsidP="00E41106">
            <w:pPr>
              <w:jc w:val="both"/>
            </w:pPr>
            <w:r>
              <w:t>As per trade</w:t>
            </w:r>
          </w:p>
        </w:tc>
      </w:tr>
      <w:tr w:rsidR="00AB7174" w:rsidTr="002825C8">
        <w:tc>
          <w:tcPr>
            <w:tcW w:w="1550" w:type="dxa"/>
          </w:tcPr>
          <w:p w:rsidR="00AB7174" w:rsidRDefault="00AB7174" w:rsidP="00E41106">
            <w:pPr>
              <w:jc w:val="both"/>
            </w:pPr>
            <w:r>
              <w:t xml:space="preserve">STTs Pass Out </w:t>
            </w:r>
          </w:p>
        </w:tc>
        <w:tc>
          <w:tcPr>
            <w:tcW w:w="2254" w:type="dxa"/>
          </w:tcPr>
          <w:p w:rsidR="00AB7174" w:rsidRDefault="002825C8" w:rsidP="00E41106">
            <w:pPr>
              <w:jc w:val="both"/>
            </w:pPr>
            <w:r>
              <w:t>14</w:t>
            </w:r>
          </w:p>
        </w:tc>
        <w:tc>
          <w:tcPr>
            <w:tcW w:w="2254" w:type="dxa"/>
          </w:tcPr>
          <w:p w:rsidR="00AB7174" w:rsidRDefault="002825C8" w:rsidP="00E41106">
            <w:pPr>
              <w:jc w:val="both"/>
            </w:pPr>
            <w:r>
              <w:t>None</w:t>
            </w:r>
          </w:p>
        </w:tc>
        <w:tc>
          <w:tcPr>
            <w:tcW w:w="2254" w:type="dxa"/>
          </w:tcPr>
          <w:p w:rsidR="00AB7174" w:rsidRDefault="002825C8" w:rsidP="00E41106">
            <w:pPr>
              <w:jc w:val="both"/>
            </w:pPr>
            <w:r>
              <w:t>As per trade</w:t>
            </w:r>
          </w:p>
        </w:tc>
      </w:tr>
      <w:tr w:rsidR="00AB7174" w:rsidTr="002825C8">
        <w:tc>
          <w:tcPr>
            <w:tcW w:w="1550" w:type="dxa"/>
          </w:tcPr>
          <w:p w:rsidR="00AB7174" w:rsidRDefault="00AB7174" w:rsidP="00E41106">
            <w:pPr>
              <w:jc w:val="both"/>
            </w:pPr>
            <w:r>
              <w:t>Fresher</w:t>
            </w:r>
          </w:p>
        </w:tc>
        <w:tc>
          <w:tcPr>
            <w:tcW w:w="2254" w:type="dxa"/>
          </w:tcPr>
          <w:p w:rsidR="00AB7174" w:rsidRDefault="002825C8" w:rsidP="00E41106">
            <w:pPr>
              <w:jc w:val="both"/>
            </w:pPr>
            <w:r>
              <w:t>14</w:t>
            </w:r>
          </w:p>
        </w:tc>
        <w:tc>
          <w:tcPr>
            <w:tcW w:w="2254" w:type="dxa"/>
          </w:tcPr>
          <w:p w:rsidR="00AB7174" w:rsidRDefault="002825C8" w:rsidP="00E41106">
            <w:pPr>
              <w:jc w:val="both"/>
            </w:pPr>
            <w:r>
              <w:t>21</w:t>
            </w:r>
          </w:p>
        </w:tc>
        <w:tc>
          <w:tcPr>
            <w:tcW w:w="2254" w:type="dxa"/>
          </w:tcPr>
          <w:p w:rsidR="00AB7174" w:rsidRDefault="002825C8" w:rsidP="00E41106">
            <w:pPr>
              <w:jc w:val="both"/>
            </w:pPr>
            <w:r>
              <w:t>As per trade</w:t>
            </w:r>
          </w:p>
        </w:tc>
      </w:tr>
    </w:tbl>
    <w:p w:rsidR="00AB7174" w:rsidRDefault="00AB7174" w:rsidP="00E41106">
      <w:pPr>
        <w:jc w:val="both"/>
      </w:pPr>
    </w:p>
    <w:p w:rsidR="00E41106" w:rsidRDefault="00E41106" w:rsidP="00E41106">
      <w:pPr>
        <w:jc w:val="both"/>
        <w:rPr>
          <w:b/>
          <w:u w:val="single"/>
        </w:rPr>
      </w:pPr>
    </w:p>
    <w:p w:rsidR="00E41106" w:rsidRDefault="00E41106" w:rsidP="00E41106">
      <w:pPr>
        <w:jc w:val="both"/>
        <w:rPr>
          <w:b/>
          <w:u w:val="single"/>
        </w:rPr>
      </w:pPr>
    </w:p>
    <w:p w:rsidR="00AB7174" w:rsidRDefault="00B50786" w:rsidP="00481C95">
      <w:pPr>
        <w:shd w:val="clear" w:color="auto" w:fill="D9D9D9" w:themeFill="background1" w:themeFillShade="D9"/>
        <w:jc w:val="both"/>
        <w:rPr>
          <w:b/>
          <w:u w:val="single"/>
        </w:rPr>
      </w:pPr>
      <w:r w:rsidRPr="00B50786">
        <w:rPr>
          <w:b/>
          <w:u w:val="single"/>
        </w:rPr>
        <w:t>Engagement of Apprentices</w:t>
      </w:r>
      <w:r w:rsidR="00E41106">
        <w:rPr>
          <w:b/>
          <w:u w:val="single"/>
        </w:rPr>
        <w:t xml:space="preserve"> &amp; </w:t>
      </w:r>
      <w:proofErr w:type="spellStart"/>
      <w:r w:rsidR="00E41106">
        <w:rPr>
          <w:b/>
          <w:u w:val="single"/>
        </w:rPr>
        <w:t>Estabishments</w:t>
      </w:r>
      <w:proofErr w:type="spellEnd"/>
      <w:r w:rsidRPr="00B50786">
        <w:rPr>
          <w:b/>
          <w:u w:val="single"/>
        </w:rPr>
        <w:t xml:space="preserve"> for NAPS</w:t>
      </w:r>
    </w:p>
    <w:p w:rsidR="00B50786" w:rsidRDefault="00B50786" w:rsidP="00E41106">
      <w:pPr>
        <w:jc w:val="both"/>
      </w:pPr>
      <w:r>
        <w:t>ASDM has been given the login credentials for NAPS dashboard (</w:t>
      </w:r>
      <w:hyperlink r:id="rId8" w:history="1">
        <w:r w:rsidRPr="004E345B">
          <w:rPr>
            <w:rStyle w:val="Hyperlink"/>
          </w:rPr>
          <w:t>www.apprenticeshipindia.org</w:t>
        </w:r>
      </w:hyperlink>
      <w:r>
        <w:t xml:space="preserve">) where both employers and apprentices (aspiring) would register themselves. This online portal would serve as a single platform where both industry and aspiring apprentices can look out for their needs. Based on the vacancies listed by industries on this dashboard, candidates can directly apply for the available apprenticeship. These establishments </w:t>
      </w:r>
      <w:r w:rsidR="00E41106">
        <w:t xml:space="preserve">need to register their bank details on the dashboard and the stipend amount would be directly credited to them. </w:t>
      </w:r>
    </w:p>
    <w:p w:rsidR="007F3C81" w:rsidRDefault="007F3C81" w:rsidP="00E41106">
      <w:pPr>
        <w:jc w:val="both"/>
      </w:pPr>
      <w:r>
        <w:t>For more details please visit Apprenticeship website</w:t>
      </w:r>
      <w:bookmarkStart w:id="0" w:name="_GoBack"/>
      <w:bookmarkEnd w:id="0"/>
      <w:r>
        <w:t>-</w:t>
      </w:r>
      <w:r>
        <w:t>(</w:t>
      </w:r>
      <w:hyperlink r:id="rId9" w:history="1">
        <w:r w:rsidRPr="004E345B">
          <w:rPr>
            <w:rStyle w:val="Hyperlink"/>
          </w:rPr>
          <w:t>www.apprenticeshipindia.org</w:t>
        </w:r>
      </w:hyperlink>
      <w:r>
        <w:rPr>
          <w:rStyle w:val="Hyperlink"/>
        </w:rPr>
        <w:t>)</w:t>
      </w:r>
    </w:p>
    <w:p w:rsidR="007F3C81" w:rsidRDefault="007F3C81" w:rsidP="00E41106">
      <w:pPr>
        <w:jc w:val="both"/>
      </w:pPr>
    </w:p>
    <w:sectPr w:rsidR="007F3C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164" w:rsidRDefault="001E3164" w:rsidP="00E41106">
      <w:pPr>
        <w:spacing w:after="0" w:line="240" w:lineRule="auto"/>
      </w:pPr>
      <w:r>
        <w:separator/>
      </w:r>
    </w:p>
  </w:endnote>
  <w:endnote w:type="continuationSeparator" w:id="0">
    <w:p w:rsidR="001E3164" w:rsidRDefault="001E3164" w:rsidP="00E4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164" w:rsidRDefault="001E3164" w:rsidP="00E41106">
      <w:pPr>
        <w:spacing w:after="0" w:line="240" w:lineRule="auto"/>
      </w:pPr>
      <w:r>
        <w:separator/>
      </w:r>
    </w:p>
  </w:footnote>
  <w:footnote w:type="continuationSeparator" w:id="0">
    <w:p w:rsidR="001E3164" w:rsidRDefault="001E3164" w:rsidP="00E41106">
      <w:pPr>
        <w:spacing w:after="0" w:line="240" w:lineRule="auto"/>
      </w:pPr>
      <w:r>
        <w:continuationSeparator/>
      </w:r>
    </w:p>
  </w:footnote>
  <w:footnote w:id="1">
    <w:p w:rsidR="00481C95" w:rsidRDefault="00481C95" w:rsidP="00481C95">
      <w:r>
        <w:rPr>
          <w:rStyle w:val="FootnoteReference"/>
        </w:rPr>
        <w:footnoteRef/>
      </w:r>
      <w:r>
        <w:t xml:space="preserve"> BTP is an entity which has facilities for imparting basic training to apprentices</w:t>
      </w:r>
    </w:p>
    <w:p w:rsidR="00481C95" w:rsidRDefault="00481C95">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B1AA2"/>
    <w:multiLevelType w:val="hybridMultilevel"/>
    <w:tmpl w:val="CB0059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DDB2DFE"/>
    <w:multiLevelType w:val="hybridMultilevel"/>
    <w:tmpl w:val="475E76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9B3082B"/>
    <w:multiLevelType w:val="hybridMultilevel"/>
    <w:tmpl w:val="08D635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11"/>
    <w:rsid w:val="001E3164"/>
    <w:rsid w:val="002825C8"/>
    <w:rsid w:val="0032669D"/>
    <w:rsid w:val="00481C95"/>
    <w:rsid w:val="005053E1"/>
    <w:rsid w:val="00727FE7"/>
    <w:rsid w:val="007C447A"/>
    <w:rsid w:val="007F3C81"/>
    <w:rsid w:val="009D0654"/>
    <w:rsid w:val="00AB7174"/>
    <w:rsid w:val="00B50786"/>
    <w:rsid w:val="00C53811"/>
    <w:rsid w:val="00C5613C"/>
    <w:rsid w:val="00CA7AFB"/>
    <w:rsid w:val="00E4110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AD87"/>
  <w15:chartTrackingRefBased/>
  <w15:docId w15:val="{94C5C8A1-7AEF-4984-8513-88229A97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11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811"/>
    <w:pPr>
      <w:ind w:left="720"/>
      <w:contextualSpacing/>
    </w:pPr>
  </w:style>
  <w:style w:type="table" w:styleId="TableGrid">
    <w:name w:val="Table Grid"/>
    <w:basedOn w:val="TableNormal"/>
    <w:uiPriority w:val="39"/>
    <w:rsid w:val="009D0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786"/>
    <w:rPr>
      <w:color w:val="0563C1" w:themeColor="hyperlink"/>
      <w:u w:val="single"/>
    </w:rPr>
  </w:style>
  <w:style w:type="paragraph" w:styleId="EndnoteText">
    <w:name w:val="endnote text"/>
    <w:basedOn w:val="Normal"/>
    <w:link w:val="EndnoteTextChar"/>
    <w:uiPriority w:val="99"/>
    <w:semiHidden/>
    <w:unhideWhenUsed/>
    <w:rsid w:val="00E411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1106"/>
    <w:rPr>
      <w:sz w:val="20"/>
      <w:szCs w:val="20"/>
    </w:rPr>
  </w:style>
  <w:style w:type="character" w:styleId="EndnoteReference">
    <w:name w:val="endnote reference"/>
    <w:basedOn w:val="DefaultParagraphFont"/>
    <w:uiPriority w:val="99"/>
    <w:semiHidden/>
    <w:unhideWhenUsed/>
    <w:rsid w:val="00E41106"/>
    <w:rPr>
      <w:vertAlign w:val="superscript"/>
    </w:rPr>
  </w:style>
  <w:style w:type="paragraph" w:styleId="FootnoteText">
    <w:name w:val="footnote text"/>
    <w:basedOn w:val="Normal"/>
    <w:link w:val="FootnoteTextChar"/>
    <w:uiPriority w:val="99"/>
    <w:semiHidden/>
    <w:unhideWhenUsed/>
    <w:rsid w:val="00E411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106"/>
    <w:rPr>
      <w:sz w:val="20"/>
      <w:szCs w:val="20"/>
    </w:rPr>
  </w:style>
  <w:style w:type="character" w:styleId="FootnoteReference">
    <w:name w:val="footnote reference"/>
    <w:basedOn w:val="DefaultParagraphFont"/>
    <w:uiPriority w:val="99"/>
    <w:semiHidden/>
    <w:unhideWhenUsed/>
    <w:rsid w:val="00E41106"/>
    <w:rPr>
      <w:vertAlign w:val="superscript"/>
    </w:rPr>
  </w:style>
  <w:style w:type="character" w:customStyle="1" w:styleId="Heading1Char">
    <w:name w:val="Heading 1 Char"/>
    <w:basedOn w:val="DefaultParagraphFont"/>
    <w:link w:val="Heading1"/>
    <w:uiPriority w:val="9"/>
    <w:rsid w:val="00E41106"/>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7F3C8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prenticeshipindi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prenticeship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55D08-A5BF-4244-80E1-236596A5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Kant Yadav</dc:creator>
  <cp:keywords/>
  <dc:description/>
  <cp:lastModifiedBy>Acer</cp:lastModifiedBy>
  <cp:revision>5</cp:revision>
  <dcterms:created xsi:type="dcterms:W3CDTF">2019-09-27T07:39:00Z</dcterms:created>
  <dcterms:modified xsi:type="dcterms:W3CDTF">2019-09-27T07:44:00Z</dcterms:modified>
</cp:coreProperties>
</file>